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黑体" w:hAnsi="黑体" w:eastAsia="黑体" w:cs="黑体"/>
          <w:b/>
          <w:spacing w:val="-17"/>
          <w:kern w:val="0"/>
          <w:sz w:val="28"/>
          <w:szCs w:val="28"/>
          <w:lang w:val="en-US" w:eastAsia="zh-CN"/>
        </w:rPr>
      </w:pPr>
      <w:r>
        <w:rPr>
          <w:rFonts w:hint="eastAsia" w:ascii="黑体" w:hAnsi="黑体" w:eastAsia="黑体" w:cs="黑体"/>
          <w:b/>
          <w:spacing w:val="-17"/>
          <w:kern w:val="0"/>
          <w:sz w:val="28"/>
          <w:szCs w:val="28"/>
          <w:lang w:val="en-US" w:eastAsia="zh-CN"/>
        </w:rPr>
        <w:t>公告2：</w:t>
      </w:r>
      <w:bookmarkStart w:id="0" w:name="_GoBack"/>
      <w:bookmarkEnd w:id="0"/>
    </w:p>
    <w:p>
      <w:pPr>
        <w:widowControl/>
        <w:jc w:val="center"/>
        <w:rPr>
          <w:rFonts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widowControl/>
        <w:ind w:firstLine="640" w:firstLineChars="200"/>
        <w:jc w:val="left"/>
        <w:rPr>
          <w:rFonts w:ascii="仿宋_GB2312" w:hAnsi="宋体" w:eastAsia="仿宋_GB2312" w:cs="宋体"/>
          <w:kern w:val="0"/>
          <w:sz w:val="32"/>
          <w:szCs w:val="32"/>
        </w:rPr>
      </w:pP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一、榜单名称</w:t>
      </w:r>
    </w:p>
    <w:p>
      <w:pPr>
        <w:ind w:firstLine="643" w:firstLineChars="200"/>
        <w:jc w:val="left"/>
        <w:rPr>
          <w:rFonts w:hint="eastAsia" w:ascii="仿宋" w:hAnsi="仿宋" w:eastAsia="仿宋" w:cs="仿宋"/>
          <w:bCs/>
          <w:sz w:val="32"/>
          <w:szCs w:val="32"/>
        </w:rPr>
      </w:pPr>
      <w:r>
        <w:rPr>
          <w:rFonts w:hint="eastAsia" w:ascii="仿宋" w:hAnsi="仿宋" w:eastAsia="仿宋" w:cs="仿宋"/>
          <w:b/>
          <w:bCs/>
          <w:kern w:val="0"/>
          <w:sz w:val="32"/>
          <w:szCs w:val="32"/>
        </w:rPr>
        <w:t>项目名称：</w:t>
      </w:r>
      <w:r>
        <w:rPr>
          <w:rFonts w:hint="eastAsia" w:ascii="仿宋" w:hAnsi="仿宋" w:eastAsia="仿宋" w:cs="仿宋"/>
          <w:bCs/>
          <w:sz w:val="32"/>
          <w:szCs w:val="32"/>
          <w:lang w:val="en-US" w:eastAsia="zh-CN"/>
        </w:rPr>
        <w:t>离层注浆充填开采工作面覆岩破断特征及控制研究。</w:t>
      </w:r>
    </w:p>
    <w:p>
      <w:pPr>
        <w:widowControl/>
        <w:ind w:firstLine="643" w:firstLineChars="200"/>
        <w:rPr>
          <w:rFonts w:hint="eastAsia" w:ascii="仿宋" w:hAnsi="仿宋" w:eastAsia="仿宋" w:cs="仿宋"/>
          <w:kern w:val="0"/>
          <w:sz w:val="32"/>
          <w:szCs w:val="32"/>
          <w:highlight w:val="none"/>
        </w:rPr>
      </w:pPr>
      <w:r>
        <w:rPr>
          <w:rFonts w:hint="eastAsia" w:ascii="仿宋" w:hAnsi="仿宋" w:eastAsia="仿宋" w:cs="仿宋"/>
          <w:b/>
          <w:bCs/>
          <w:kern w:val="0"/>
          <w:sz w:val="32"/>
          <w:szCs w:val="32"/>
          <w:highlight w:val="none"/>
        </w:rPr>
        <w:t>注：</w:t>
      </w:r>
      <w:r>
        <w:rPr>
          <w:rFonts w:hint="eastAsia" w:ascii="仿宋" w:hAnsi="仿宋" w:eastAsia="仿宋" w:cs="仿宋"/>
          <w:bCs/>
          <w:sz w:val="32"/>
          <w:szCs w:val="32"/>
        </w:rPr>
        <w:t>《关于下达河南能源集团2024年科技研发项目计划的通知》（豫能办〔2024〕95号）、项目编号2024-01-3。</w:t>
      </w:r>
    </w:p>
    <w:p>
      <w:pPr>
        <w:widowControl/>
        <w:ind w:firstLine="643" w:firstLineChars="200"/>
        <w:jc w:val="left"/>
        <w:rPr>
          <w:rFonts w:ascii="黑体" w:hAnsi="黑体" w:eastAsia="黑体" w:cs="黑体"/>
          <w:b/>
          <w:bCs/>
          <w:kern w:val="0"/>
          <w:sz w:val="32"/>
          <w:szCs w:val="32"/>
        </w:rPr>
      </w:pPr>
      <w:r>
        <w:rPr>
          <w:rFonts w:hint="eastAsia" w:ascii="黑体" w:hAnsi="黑体" w:eastAsia="黑体" w:cs="黑体"/>
          <w:b/>
          <w:bCs/>
          <w:kern w:val="0"/>
          <w:sz w:val="32"/>
          <w:szCs w:val="32"/>
        </w:rPr>
        <w:t>二、需求目标</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1.准确掌握覆岩离层产生的机理、条件和实施离层注浆充填开采工作面的覆岩破断特征及相关参数，实现动态演示；</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2.精准探查产生离层的地层结构、顶底板岩性及“上三带”发育规律，确定可注浆离层的位置；</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3.离层产生的时机与埋深、采厚、推进度之间的关系；</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4.充填材料的物理及力学特性，分析浆液扩散半径与注浆材料定量关系，实现针对性精准注浆，以及不同充填材料的充填效果分析评价；</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5.注浆效果的评价指标及效果检验；总结编制注浆减沉技术的规范。</w:t>
      </w:r>
    </w:p>
    <w:p>
      <w:pPr>
        <w:widowControl/>
        <w:ind w:firstLine="643" w:firstLineChars="200"/>
        <w:jc w:val="left"/>
        <w:rPr>
          <w:rFonts w:ascii="黑体" w:hAnsi="黑体" w:eastAsia="黑体" w:cs="黑体"/>
          <w:b/>
          <w:bCs/>
          <w:kern w:val="0"/>
          <w:sz w:val="32"/>
          <w:szCs w:val="32"/>
        </w:rPr>
      </w:pPr>
      <w:r>
        <w:rPr>
          <w:rFonts w:hint="eastAsia" w:ascii="黑体" w:hAnsi="黑体" w:eastAsia="黑体" w:cs="黑体"/>
          <w:b/>
          <w:bCs/>
          <w:kern w:val="0"/>
          <w:sz w:val="32"/>
          <w:szCs w:val="32"/>
        </w:rPr>
        <w:t>三、考核指标</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准确掌握覆岩移动破断机理，编制离层注浆充填开采工作面覆岩破断特征及控制研究报告</w:t>
      </w:r>
      <w:r>
        <w:rPr>
          <w:rFonts w:hint="eastAsia" w:ascii="仿宋" w:hAnsi="仿宋" w:eastAsia="仿宋" w:cs="仿宋"/>
          <w:bCs/>
          <w:sz w:val="32"/>
          <w:szCs w:val="32"/>
        </w:rPr>
        <w:t>。</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rPr>
        <w:t>2.</w:t>
      </w:r>
      <w:r>
        <w:rPr>
          <w:rFonts w:hint="eastAsia" w:ascii="仿宋" w:hAnsi="仿宋" w:eastAsia="仿宋" w:cs="仿宋"/>
          <w:bCs/>
          <w:sz w:val="32"/>
          <w:szCs w:val="32"/>
          <w:lang w:val="en-US" w:eastAsia="zh-CN"/>
        </w:rPr>
        <w:t>提出离层产生的时机与工作面埋深、采厚、推进度之间的量化关系图表。</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3.编制不同注浆材料配比对浆液扩散半径、注采比、注浆效果的影响评价报告，实现针对性精准注浆。</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4.提出覆岩离层注浆充填减沉开采技术对地表建（构）筑物保护的效果评价报告。</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5.基于覆岩离层精准注浆关键技术研究相关发明专利申请不少于1项、核心期刊论文不少于2篇。</w:t>
      </w:r>
    </w:p>
    <w:p>
      <w:pPr>
        <w:widowControl/>
        <w:ind w:firstLine="640" w:firstLineChars="200"/>
        <w:rPr>
          <w:rFonts w:ascii="仿宋" w:hAnsi="仿宋" w:eastAsia="仿宋" w:cs="仿宋"/>
          <w:bCs/>
          <w:sz w:val="32"/>
          <w:szCs w:val="32"/>
        </w:rPr>
      </w:pPr>
      <w:r>
        <w:rPr>
          <w:rFonts w:hint="eastAsia" w:ascii="仿宋" w:hAnsi="仿宋" w:eastAsia="仿宋" w:cs="仿宋"/>
          <w:bCs/>
          <w:sz w:val="32"/>
          <w:szCs w:val="32"/>
          <w:lang w:val="en-US" w:eastAsia="zh-CN"/>
        </w:rPr>
        <w:t>6.研究成果经第三方鉴定，达到国际领先</w:t>
      </w:r>
      <w:r>
        <w:rPr>
          <w:rFonts w:hint="eastAsia" w:ascii="仿宋" w:hAnsi="仿宋" w:eastAsia="仿宋" w:cs="仿宋"/>
          <w:bCs/>
          <w:sz w:val="32"/>
          <w:szCs w:val="32"/>
        </w:rPr>
        <w:t>及以上水平。</w:t>
      </w:r>
    </w:p>
    <w:p>
      <w:pPr>
        <w:widowControl/>
        <w:ind w:firstLine="640" w:firstLineChars="200"/>
        <w:rPr>
          <w:rFonts w:ascii="黑体" w:hAnsi="黑体" w:eastAsia="黑体" w:cs="黑体"/>
          <w:kern w:val="0"/>
          <w:sz w:val="32"/>
          <w:szCs w:val="32"/>
        </w:rPr>
      </w:pPr>
      <w:r>
        <w:rPr>
          <w:rFonts w:hint="eastAsia" w:ascii="黑体" w:hAnsi="黑体" w:eastAsia="黑体" w:cs="黑体"/>
          <w:kern w:val="0"/>
          <w:sz w:val="32"/>
          <w:szCs w:val="32"/>
        </w:rPr>
        <w:t>四、实施期限</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年12月底之前</w:t>
      </w:r>
      <w:r>
        <w:rPr>
          <w:rFonts w:hint="eastAsia" w:ascii="仿宋" w:hAnsi="仿宋" w:eastAsia="仿宋" w:cs="仿宋"/>
          <w:bCs/>
          <w:sz w:val="32"/>
          <w:szCs w:val="32"/>
          <w:lang w:val="en-US" w:eastAsia="zh-CN"/>
        </w:rPr>
        <w:t>完成</w:t>
      </w:r>
      <w:r>
        <w:rPr>
          <w:rFonts w:hint="eastAsia" w:ascii="仿宋" w:hAnsi="仿宋" w:eastAsia="仿宋" w:cs="仿宋"/>
          <w:bCs/>
          <w:sz w:val="32"/>
          <w:szCs w:val="32"/>
        </w:rPr>
        <w:t>。</w:t>
      </w:r>
    </w:p>
    <w:p>
      <w:pPr>
        <w:widowControl/>
        <w:ind w:firstLine="643" w:firstLineChars="200"/>
        <w:jc w:val="left"/>
        <w:rPr>
          <w:rFonts w:ascii="黑体" w:hAnsi="黑体" w:eastAsia="黑体" w:cs="黑体"/>
          <w:b/>
          <w:bCs/>
          <w:kern w:val="0"/>
          <w:sz w:val="32"/>
          <w:szCs w:val="32"/>
        </w:rPr>
      </w:pPr>
      <w:r>
        <w:rPr>
          <w:rFonts w:hint="eastAsia" w:ascii="黑体" w:hAnsi="黑体" w:eastAsia="黑体" w:cs="黑体"/>
          <w:b/>
          <w:bCs/>
          <w:kern w:val="0"/>
          <w:sz w:val="32"/>
          <w:szCs w:val="32"/>
        </w:rPr>
        <w:t>五、榜单限额</w:t>
      </w:r>
    </w:p>
    <w:p>
      <w:pPr>
        <w:ind w:firstLine="640" w:firstLineChars="200"/>
        <w:rPr>
          <w:rFonts w:ascii="仿宋" w:hAnsi="仿宋" w:eastAsia="仿宋" w:cs="仿宋"/>
          <w:kern w:val="0"/>
          <w:sz w:val="32"/>
          <w:szCs w:val="32"/>
        </w:rPr>
      </w:pPr>
      <w:r>
        <w:rPr>
          <w:rFonts w:hint="eastAsia" w:ascii="仿宋" w:hAnsi="仿宋" w:eastAsia="仿宋" w:cs="仿宋"/>
          <w:bCs/>
          <w:sz w:val="32"/>
          <w:szCs w:val="32"/>
        </w:rPr>
        <w:t>委外研究费用不超过</w:t>
      </w:r>
      <w:r>
        <w:rPr>
          <w:rFonts w:hint="eastAsia" w:ascii="仿宋" w:hAnsi="仿宋" w:eastAsia="仿宋" w:cs="仿宋"/>
          <w:bCs/>
          <w:sz w:val="32"/>
          <w:szCs w:val="32"/>
          <w:lang w:val="en-US" w:eastAsia="zh-CN"/>
        </w:rPr>
        <w:t>200</w:t>
      </w:r>
      <w:r>
        <w:rPr>
          <w:rFonts w:hint="eastAsia" w:ascii="仿宋" w:hAnsi="仿宋" w:eastAsia="仿宋" w:cs="仿宋"/>
          <w:bCs/>
          <w:sz w:val="32"/>
          <w:szCs w:val="32"/>
        </w:rPr>
        <w:t>万元。</w:t>
      </w:r>
    </w:p>
    <w:p>
      <w:pPr>
        <w:widowControl/>
        <w:ind w:firstLine="643" w:firstLineChars="200"/>
        <w:jc w:val="left"/>
        <w:rPr>
          <w:rFonts w:ascii="黑体" w:hAnsi="黑体" w:eastAsia="黑体" w:cs="黑体"/>
          <w:b/>
          <w:bCs/>
          <w:kern w:val="0"/>
          <w:sz w:val="32"/>
          <w:szCs w:val="32"/>
        </w:rPr>
      </w:pPr>
      <w:r>
        <w:rPr>
          <w:rFonts w:hint="eastAsia" w:ascii="黑体" w:hAnsi="黑体" w:eastAsia="黑体" w:cs="黑体"/>
          <w:b/>
          <w:bCs/>
          <w:kern w:val="0"/>
          <w:sz w:val="32"/>
          <w:szCs w:val="32"/>
        </w:rPr>
        <w:t>六、揭榜方条件</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2.揭榜方挂帅者实行“谁有能力谁揭榜挂帅”的原则。挂帅者作为研发团队带头人，应在</w:t>
      </w:r>
      <w:r>
        <w:rPr>
          <w:rFonts w:hint="eastAsia" w:ascii="仿宋" w:hAnsi="仿宋" w:eastAsia="仿宋" w:cs="仿宋"/>
          <w:bCs/>
          <w:sz w:val="32"/>
          <w:szCs w:val="32"/>
          <w:lang w:val="en-US" w:eastAsia="zh-CN"/>
        </w:rPr>
        <w:t>矿山采动损害防治</w:t>
      </w:r>
      <w:r>
        <w:rPr>
          <w:rFonts w:hint="eastAsia" w:ascii="仿宋" w:hAnsi="仿宋" w:eastAsia="仿宋" w:cs="仿宋"/>
          <w:bCs/>
          <w:sz w:val="32"/>
          <w:szCs w:val="32"/>
        </w:rPr>
        <w:t>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4.揭榜方应近五年开展</w:t>
      </w:r>
      <w:r>
        <w:rPr>
          <w:rFonts w:hint="eastAsia" w:ascii="仿宋" w:hAnsi="仿宋" w:eastAsia="仿宋" w:cs="仿宋"/>
          <w:bCs/>
          <w:sz w:val="32"/>
          <w:szCs w:val="32"/>
          <w:lang w:eastAsia="zh-CN"/>
        </w:rPr>
        <w:t>覆岩离层注浆充填减沉</w:t>
      </w:r>
      <w:r>
        <w:rPr>
          <w:rFonts w:hint="eastAsia" w:ascii="仿宋" w:hAnsi="仿宋" w:eastAsia="仿宋" w:cs="仿宋"/>
          <w:bCs/>
          <w:sz w:val="32"/>
          <w:szCs w:val="32"/>
        </w:rPr>
        <w:t>研究方面的类似项目至少1项。</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七、知识产权归属及利益分配</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1.专利或软著：第一完成单位为</w:t>
      </w:r>
      <w:r>
        <w:rPr>
          <w:rFonts w:hint="eastAsia" w:ascii="仿宋" w:hAnsi="仿宋" w:eastAsia="仿宋" w:cs="仿宋"/>
          <w:bCs/>
          <w:sz w:val="32"/>
          <w:szCs w:val="32"/>
          <w:lang w:val="en-US" w:eastAsia="zh-CN"/>
        </w:rPr>
        <w:t>义马煤业集团股份有限公司</w:t>
      </w:r>
      <w:r>
        <w:rPr>
          <w:rFonts w:hint="eastAsia" w:ascii="仿宋" w:hAnsi="仿宋" w:eastAsia="仿宋" w:cs="仿宋"/>
          <w:bCs/>
          <w:sz w:val="32"/>
          <w:szCs w:val="32"/>
        </w:rPr>
        <w:t>。</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2.论文：第一作者为</w:t>
      </w:r>
      <w:r>
        <w:rPr>
          <w:rFonts w:hint="eastAsia" w:ascii="仿宋" w:hAnsi="仿宋" w:eastAsia="仿宋" w:cs="仿宋"/>
          <w:bCs/>
          <w:sz w:val="32"/>
          <w:szCs w:val="32"/>
          <w:lang w:val="en-US" w:eastAsia="zh-CN"/>
        </w:rPr>
        <w:t>义马煤业集团股份有限公司</w:t>
      </w:r>
      <w:r>
        <w:rPr>
          <w:rFonts w:hint="eastAsia" w:ascii="仿宋" w:hAnsi="仿宋" w:eastAsia="仿宋" w:cs="仿宋"/>
          <w:bCs/>
          <w:sz w:val="32"/>
          <w:szCs w:val="32"/>
        </w:rPr>
        <w:t>相关人员。</w:t>
      </w:r>
    </w:p>
    <w:p>
      <w:pPr>
        <w:keepNext w:val="0"/>
        <w:keepLines w:val="0"/>
        <w:pageBreakBefore w:val="0"/>
        <w:widowControl w:val="0"/>
        <w:kinsoku w:val="0"/>
        <w:wordWrap/>
        <w:overflowPunct w:val="0"/>
        <w:topLinePunct w:val="0"/>
        <w:autoSpaceDE w:val="0"/>
        <w:autoSpaceDN w:val="0"/>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3.科技成果：鉴定成果的第一完成单位为</w:t>
      </w:r>
      <w:r>
        <w:rPr>
          <w:rFonts w:hint="eastAsia" w:ascii="仿宋" w:hAnsi="仿宋" w:eastAsia="仿宋" w:cs="仿宋"/>
          <w:bCs/>
          <w:sz w:val="32"/>
          <w:szCs w:val="32"/>
          <w:lang w:val="en-US" w:eastAsia="zh-CN"/>
        </w:rPr>
        <w:t>义马煤业集团股份有限公司</w:t>
      </w:r>
      <w:r>
        <w:rPr>
          <w:rFonts w:hint="eastAsia" w:ascii="仿宋" w:hAnsi="仿宋" w:eastAsia="仿宋" w:cs="仿宋"/>
          <w:bCs/>
          <w:sz w:val="32"/>
          <w:szCs w:val="32"/>
        </w:rPr>
        <w:t>，完成人员名次</w:t>
      </w:r>
      <w:r>
        <w:rPr>
          <w:rFonts w:hint="eastAsia" w:ascii="仿宋" w:hAnsi="仿宋" w:eastAsia="仿宋" w:cs="仿宋"/>
          <w:bCs/>
          <w:sz w:val="32"/>
          <w:szCs w:val="32"/>
          <w:lang w:val="en-US" w:eastAsia="zh-CN"/>
        </w:rPr>
        <w:t>由相关参与单位</w:t>
      </w:r>
      <w:r>
        <w:rPr>
          <w:rFonts w:hint="eastAsia" w:ascii="仿宋" w:hAnsi="仿宋" w:eastAsia="仿宋" w:cs="仿宋"/>
          <w:bCs/>
          <w:sz w:val="32"/>
          <w:szCs w:val="32"/>
        </w:rPr>
        <w:t>协商确定。</w:t>
      </w:r>
    </w:p>
    <w:p>
      <w:pPr>
        <w:keepNext w:val="0"/>
        <w:keepLines w:val="0"/>
        <w:pageBreakBefore w:val="0"/>
        <w:widowControl w:val="0"/>
        <w:kinsoku w:val="0"/>
        <w:wordWrap/>
        <w:overflowPunct w:val="0"/>
        <w:topLinePunct w:val="0"/>
        <w:autoSpaceDE w:val="0"/>
        <w:autoSpaceDN w:val="0"/>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4.本项目中知识产权以后所产生的利益均归属</w:t>
      </w:r>
      <w:r>
        <w:rPr>
          <w:rFonts w:hint="eastAsia" w:ascii="仿宋" w:hAnsi="仿宋" w:eastAsia="仿宋" w:cs="仿宋"/>
          <w:bCs/>
          <w:sz w:val="32"/>
          <w:szCs w:val="32"/>
          <w:lang w:val="en-US" w:eastAsia="zh-CN"/>
        </w:rPr>
        <w:t>义马煤业集团股份有限</w:t>
      </w:r>
      <w:r>
        <w:rPr>
          <w:rFonts w:hint="eastAsia" w:ascii="仿宋" w:hAnsi="仿宋" w:eastAsia="仿宋" w:cs="仿宋"/>
          <w:bCs/>
          <w:sz w:val="32"/>
          <w:szCs w:val="32"/>
        </w:rPr>
        <w:t>公司。</w:t>
      </w:r>
    </w:p>
    <w:p>
      <w:pPr>
        <w:keepNext w:val="0"/>
        <w:keepLines w:val="0"/>
        <w:pageBreakBefore w:val="0"/>
        <w:widowControl w:val="0"/>
        <w:kinsoku w:val="0"/>
        <w:wordWrap/>
        <w:overflowPunct w:val="0"/>
        <w:topLinePunct w:val="0"/>
        <w:autoSpaceDE w:val="0"/>
        <w:autoSpaceDN w:val="0"/>
        <w:bidi w:val="0"/>
        <w:adjustRightInd/>
        <w:snapToGrid/>
        <w:ind w:firstLine="640" w:firstLineChars="200"/>
        <w:textAlignment w:val="auto"/>
        <w:rPr>
          <w:rFonts w:ascii="黑体" w:hAnsi="黑体" w:eastAsia="黑体" w:cs="黑体"/>
          <w:kern w:val="0"/>
          <w:sz w:val="32"/>
          <w:szCs w:val="32"/>
        </w:rPr>
      </w:pPr>
      <w:r>
        <w:rPr>
          <w:rFonts w:hint="eastAsia" w:ascii="黑体" w:hAnsi="黑体" w:eastAsia="黑体" w:cs="黑体"/>
          <w:kern w:val="0"/>
          <w:sz w:val="32"/>
          <w:szCs w:val="32"/>
        </w:rPr>
        <w:t>八、预期成果</w:t>
      </w:r>
    </w:p>
    <w:p>
      <w:pPr>
        <w:keepNext w:val="0"/>
        <w:keepLines w:val="0"/>
        <w:pageBreakBefore w:val="0"/>
        <w:widowControl w:val="0"/>
        <w:kinsoku w:val="0"/>
        <w:wordWrap/>
        <w:overflowPunct w:val="0"/>
        <w:topLinePunct w:val="0"/>
        <w:autoSpaceDE w:val="0"/>
        <w:autoSpaceDN w:val="0"/>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精准掌握离层注浆充填开采工作面的上三带发育规律和覆岩破断特征，编制离层注浆充填开采工作面覆岩破断特征及控制研究报告。</w:t>
      </w:r>
    </w:p>
    <w:p>
      <w:pPr>
        <w:keepNext w:val="0"/>
        <w:keepLines w:val="0"/>
        <w:pageBreakBefore w:val="0"/>
        <w:widowControl w:val="0"/>
        <w:kinsoku w:val="0"/>
        <w:wordWrap/>
        <w:overflowPunct w:val="0"/>
        <w:topLinePunct w:val="0"/>
        <w:autoSpaceDE w:val="0"/>
        <w:autoSpaceDN w:val="0"/>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形成一套基于</w:t>
      </w:r>
      <w:r>
        <w:rPr>
          <w:rFonts w:hint="eastAsia" w:ascii="仿宋" w:hAnsi="仿宋" w:eastAsia="仿宋" w:cs="仿宋"/>
          <w:bCs/>
          <w:sz w:val="32"/>
          <w:szCs w:val="32"/>
          <w:lang w:val="en-US" w:eastAsia="zh-CN"/>
        </w:rPr>
        <w:t>不同开采及地质条件下的覆岩离层注浆充填技术规范</w:t>
      </w:r>
      <w:r>
        <w:rPr>
          <w:rFonts w:hint="eastAsia" w:ascii="仿宋" w:hAnsi="仿宋" w:eastAsia="仿宋" w:cs="仿宋"/>
          <w:bCs/>
          <w:sz w:val="32"/>
          <w:szCs w:val="32"/>
        </w:rPr>
        <w:t>。</w:t>
      </w:r>
    </w:p>
    <w:p>
      <w:pPr>
        <w:keepNext w:val="0"/>
        <w:keepLines w:val="0"/>
        <w:pageBreakBefore w:val="0"/>
        <w:widowControl w:val="0"/>
        <w:kinsoku w:val="0"/>
        <w:wordWrap/>
        <w:overflowPunct w:val="0"/>
        <w:topLinePunct w:val="0"/>
        <w:autoSpaceDE w:val="0"/>
        <w:autoSpaceDN w:val="0"/>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w:t>
      </w:r>
      <w:r>
        <w:rPr>
          <w:rFonts w:hint="eastAsia" w:ascii="仿宋" w:hAnsi="仿宋" w:eastAsia="仿宋" w:cs="仿宋"/>
          <w:bCs/>
          <w:sz w:val="32"/>
          <w:szCs w:val="32"/>
          <w:lang w:val="en-US" w:eastAsia="zh-CN"/>
        </w:rPr>
        <w:t>基于覆岩离层精准注浆关键技术研究相关发明专利申请不少于1项、核心期刊论文不少于2篇</w:t>
      </w:r>
      <w:r>
        <w:rPr>
          <w:rFonts w:hint="eastAsia" w:ascii="仿宋" w:hAnsi="仿宋" w:eastAsia="仿宋" w:cs="仿宋"/>
          <w:bCs/>
          <w:sz w:val="32"/>
          <w:szCs w:val="32"/>
        </w:rPr>
        <w:t>。</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4.研究成果经第三方鉴定，达到国际领先</w:t>
      </w:r>
      <w:r>
        <w:rPr>
          <w:rFonts w:hint="eastAsia" w:ascii="仿宋" w:hAnsi="仿宋" w:eastAsia="仿宋" w:cs="仿宋"/>
          <w:bCs/>
          <w:sz w:val="32"/>
          <w:szCs w:val="32"/>
        </w:rPr>
        <w:t>及以上水平</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申报省部级科技创新成果奖励不低于2项（其中一等奖不低于1项）。</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九、应用场景</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义马煤业集团股份有限公司所属新安煤田、陕渑煤田相关矿井</w:t>
      </w:r>
      <w:r>
        <w:rPr>
          <w:rFonts w:hint="eastAsia" w:ascii="仿宋" w:hAnsi="仿宋" w:eastAsia="仿宋" w:cs="仿宋"/>
          <w:bCs/>
          <w:sz w:val="32"/>
          <w:szCs w:val="32"/>
        </w:rPr>
        <w:t>。</w:t>
      </w:r>
    </w:p>
    <w:p>
      <w:pPr>
        <w:widowControl/>
        <w:ind w:firstLine="640" w:firstLineChars="200"/>
        <w:jc w:val="left"/>
        <w:rPr>
          <w:rFonts w:ascii="仿宋" w:hAnsi="仿宋" w:eastAsia="仿宋" w:cs="仿宋"/>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Arial Unicode MS"/>
    <w:panose1 w:val="03000509000000000000"/>
    <w:charset w:val="86"/>
    <w:family w:val="script"/>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6a1a6f0c-e0f6-4f45-af92-2af79cd04a91"/>
  </w:docVars>
  <w:rsids>
    <w:rsidRoot w:val="614D5D3C"/>
    <w:rsid w:val="004B504D"/>
    <w:rsid w:val="00562E15"/>
    <w:rsid w:val="00712385"/>
    <w:rsid w:val="0086757F"/>
    <w:rsid w:val="00885137"/>
    <w:rsid w:val="00931097"/>
    <w:rsid w:val="00A73C42"/>
    <w:rsid w:val="00DB0979"/>
    <w:rsid w:val="016F45ED"/>
    <w:rsid w:val="02DF57A3"/>
    <w:rsid w:val="03B207E7"/>
    <w:rsid w:val="05A20BFC"/>
    <w:rsid w:val="06F832D7"/>
    <w:rsid w:val="08057A5A"/>
    <w:rsid w:val="0A1165D8"/>
    <w:rsid w:val="0BD14F70"/>
    <w:rsid w:val="0D2E17DC"/>
    <w:rsid w:val="0E036241"/>
    <w:rsid w:val="104E6375"/>
    <w:rsid w:val="10FC5772"/>
    <w:rsid w:val="144E09DA"/>
    <w:rsid w:val="152C1A1D"/>
    <w:rsid w:val="158226E9"/>
    <w:rsid w:val="15D45CC8"/>
    <w:rsid w:val="17DC32D8"/>
    <w:rsid w:val="1977452F"/>
    <w:rsid w:val="1AEC5ABF"/>
    <w:rsid w:val="1CDF0421"/>
    <w:rsid w:val="1D630B8A"/>
    <w:rsid w:val="1EFD3064"/>
    <w:rsid w:val="1FA37E2C"/>
    <w:rsid w:val="1FDD0A29"/>
    <w:rsid w:val="25035886"/>
    <w:rsid w:val="28387059"/>
    <w:rsid w:val="287A36F4"/>
    <w:rsid w:val="2B656116"/>
    <w:rsid w:val="2BFC5296"/>
    <w:rsid w:val="2C444745"/>
    <w:rsid w:val="2DF53F49"/>
    <w:rsid w:val="2E5642BC"/>
    <w:rsid w:val="2E7B3D22"/>
    <w:rsid w:val="2EDE49DD"/>
    <w:rsid w:val="2F477051"/>
    <w:rsid w:val="31B41CA1"/>
    <w:rsid w:val="32403C38"/>
    <w:rsid w:val="35E93E16"/>
    <w:rsid w:val="389D55E9"/>
    <w:rsid w:val="3A7B43C8"/>
    <w:rsid w:val="3DDD2303"/>
    <w:rsid w:val="3E183E7F"/>
    <w:rsid w:val="3ED678A2"/>
    <w:rsid w:val="3F367F1D"/>
    <w:rsid w:val="3FA901F7"/>
    <w:rsid w:val="46F6177E"/>
    <w:rsid w:val="4A8E6E5F"/>
    <w:rsid w:val="4B646D8B"/>
    <w:rsid w:val="4D1D4C54"/>
    <w:rsid w:val="4D405842"/>
    <w:rsid w:val="4F5D115C"/>
    <w:rsid w:val="515B3813"/>
    <w:rsid w:val="533B7DA0"/>
    <w:rsid w:val="53E804B9"/>
    <w:rsid w:val="5402441A"/>
    <w:rsid w:val="551952A5"/>
    <w:rsid w:val="554738F5"/>
    <w:rsid w:val="5946285F"/>
    <w:rsid w:val="59A24114"/>
    <w:rsid w:val="5A0B09AE"/>
    <w:rsid w:val="5D7719D5"/>
    <w:rsid w:val="5E192A8C"/>
    <w:rsid w:val="614D5D3C"/>
    <w:rsid w:val="63A447FA"/>
    <w:rsid w:val="643376F3"/>
    <w:rsid w:val="659F5CEE"/>
    <w:rsid w:val="681744E0"/>
    <w:rsid w:val="68AA7C5D"/>
    <w:rsid w:val="6A666EA6"/>
    <w:rsid w:val="6CE33001"/>
    <w:rsid w:val="6E6B2E90"/>
    <w:rsid w:val="70001CFE"/>
    <w:rsid w:val="70027824"/>
    <w:rsid w:val="70510E33"/>
    <w:rsid w:val="714B2901"/>
    <w:rsid w:val="71600CA6"/>
    <w:rsid w:val="72A66B8C"/>
    <w:rsid w:val="76F1414E"/>
    <w:rsid w:val="77DF044B"/>
    <w:rsid w:val="78632E2A"/>
    <w:rsid w:val="792720A9"/>
    <w:rsid w:val="7C1235D2"/>
    <w:rsid w:val="7D1C7C70"/>
    <w:rsid w:val="7FDA5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99"/>
    <w:pPr>
      <w:ind w:firstLine="420" w:firstLineChars="200"/>
    </w:pPr>
  </w:style>
  <w:style w:type="paragraph" w:styleId="3">
    <w:name w:val="Body Text 3"/>
    <w:basedOn w:val="1"/>
    <w:qFormat/>
    <w:uiPriority w:val="0"/>
    <w:pPr>
      <w:spacing w:line="440" w:lineRule="exact"/>
    </w:pPr>
    <w:rPr>
      <w:b/>
      <w:sz w:val="28"/>
      <w:szCs w:val="20"/>
    </w:rPr>
  </w:style>
  <w:style w:type="paragraph" w:styleId="4">
    <w:name w:val="Body Text"/>
    <w:basedOn w:val="1"/>
    <w:unhideWhenUsed/>
    <w:qFormat/>
    <w:uiPriority w:val="0"/>
    <w:pPr>
      <w:spacing w:line="0" w:lineRule="atLeast"/>
    </w:pPr>
    <w:rPr>
      <w:rFonts w:ascii="宋体" w:hAnsi="宋体" w:eastAsia="小标宋"/>
      <w:sz w:val="44"/>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UserStyle_0"/>
    <w:basedOn w:val="10"/>
    <w:next w:val="10"/>
    <w:qFormat/>
    <w:uiPriority w:val="0"/>
    <w:pPr>
      <w:textAlignment w:val="baseline"/>
    </w:pPr>
  </w:style>
  <w:style w:type="paragraph" w:customStyle="1" w:styleId="10">
    <w:name w:val="UserStyle_1"/>
    <w:basedOn w:val="11"/>
    <w:next w:val="18"/>
    <w:qFormat/>
    <w:uiPriority w:val="0"/>
    <w:pPr>
      <w:spacing w:after="120"/>
      <w:ind w:left="420" w:leftChars="200"/>
    </w:pPr>
  </w:style>
  <w:style w:type="paragraph" w:customStyle="1" w:styleId="11">
    <w:name w:val="正文 New New New New New New New New New New New New New New New"/>
    <w:next w:val="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Body Text First Indent 22"/>
    <w:basedOn w:val="13"/>
    <w:next w:val="15"/>
    <w:qFormat/>
    <w:uiPriority w:val="0"/>
    <w:pPr>
      <w:ind w:firstLine="420" w:firstLineChars="200"/>
    </w:pPr>
  </w:style>
  <w:style w:type="paragraph" w:customStyle="1" w:styleId="13">
    <w:name w:val="Body Text Indent2"/>
    <w:basedOn w:val="1"/>
    <w:next w:val="14"/>
    <w:qFormat/>
    <w:uiPriority w:val="0"/>
    <w:pPr>
      <w:spacing w:after="120"/>
      <w:ind w:left="420" w:leftChars="200"/>
    </w:pPr>
  </w:style>
  <w:style w:type="paragraph" w:customStyle="1" w:styleId="14">
    <w:name w:val="index 72"/>
    <w:basedOn w:val="1"/>
    <w:next w:val="11"/>
    <w:qFormat/>
    <w:uiPriority w:val="0"/>
    <w:pPr>
      <w:ind w:left="2520"/>
    </w:pPr>
  </w:style>
  <w:style w:type="paragraph" w:customStyle="1" w:styleId="15">
    <w:name w:val="正文首行缩进2"/>
    <w:basedOn w:val="16"/>
    <w:next w:val="12"/>
    <w:qFormat/>
    <w:uiPriority w:val="0"/>
    <w:pPr>
      <w:ind w:firstLine="420" w:firstLineChars="100"/>
    </w:pPr>
  </w:style>
  <w:style w:type="paragraph" w:customStyle="1" w:styleId="16">
    <w:name w:val="正文文本 New New"/>
    <w:basedOn w:val="11"/>
    <w:next w:val="17"/>
    <w:qFormat/>
    <w:uiPriority w:val="0"/>
    <w:pPr>
      <w:spacing w:after="120"/>
    </w:pPr>
  </w:style>
  <w:style w:type="paragraph" w:customStyle="1" w:styleId="17">
    <w:name w:val="正文文本 21"/>
    <w:basedOn w:val="11"/>
    <w:qFormat/>
    <w:uiPriority w:val="0"/>
    <w:pPr>
      <w:spacing w:after="120" w:line="480" w:lineRule="auto"/>
    </w:pPr>
    <w:rPr>
      <w:rFonts w:ascii="Arial" w:hAnsi="Arial"/>
    </w:rPr>
  </w:style>
  <w:style w:type="paragraph" w:customStyle="1" w:styleId="18">
    <w:name w:val="UserStyle_2"/>
    <w:basedOn w:val="1"/>
    <w:next w:val="1"/>
    <w:qFormat/>
    <w:uiPriority w:val="0"/>
    <w:pPr>
      <w:ind w:left="1200" w:leftChars="1200"/>
      <w:textAlignment w:val="baseline"/>
    </w:pPr>
  </w:style>
  <w:style w:type="paragraph" w:customStyle="1" w:styleId="19">
    <w:name w:val="表格"/>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1403</Words>
  <Characters>1447</Characters>
  <Lines>8</Lines>
  <Paragraphs>2</Paragraphs>
  <TotalTime>0</TotalTime>
  <ScaleCrop>false</ScaleCrop>
  <LinksUpToDate>false</LinksUpToDate>
  <CharactersWithSpaces>1447</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2024-04-10T01:00:00Z</dcterms:created>
  <dc:creator>贵宏伟</dc:creator>
  <cp:lastModifiedBy>郝娅小A</cp:lastModifiedBy>
  <cp:lastPrinted>2024-05-31T07:20:00Z</cp:lastPrinted>
  <dcterms:modified xsi:type="dcterms:W3CDTF">2024-06-03T09:52:36Z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9B6E2D1A65C945BAA3219E804A79254F_13</vt:lpwstr>
  </property>
</Properties>
</file>